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中华环保联合会团体标准制修订立项申请书</w:t>
      </w:r>
      <w:bookmarkEnd w:id="0"/>
    </w:p>
    <w:tbl>
      <w:tblPr>
        <w:tblStyle w:val="3"/>
        <w:tblW w:w="90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846"/>
        <w:gridCol w:w="1040"/>
        <w:gridCol w:w="192"/>
        <w:gridCol w:w="616"/>
        <w:gridCol w:w="1216"/>
        <w:gridCol w:w="485"/>
        <w:gridCol w:w="893"/>
        <w:gridCol w:w="83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标准参与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计划编制时间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计划投入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  <w:tc>
          <w:tcPr>
            <w:tcW w:w="31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标准承担单位联系人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67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制修订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类型</w:t>
            </w:r>
          </w:p>
        </w:tc>
        <w:tc>
          <w:tcPr>
            <w:tcW w:w="7523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制订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修订（原标准号：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9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采用国际标准情况</w:t>
            </w: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等同采用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修改采用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非等效采用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无采标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9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采标标准编号</w:t>
            </w:r>
          </w:p>
        </w:tc>
        <w:tc>
          <w:tcPr>
            <w:tcW w:w="544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9017" w:type="dxa"/>
            <w:gridSpan w:val="10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标准制修订的目的、意义与必要性：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标准适用范围和标准主要内容：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2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简要说明（包括1、本标准与现行的国际、国家、行业、地方以及其他团体标准的关系；2、国内外本技术领域技术发展情况；3、本标准对国际标准或国外先进标准的采用情况，本标准的先进性、涉及专利情况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拟开展的主要工作（调研、实地考察与监测、试验或测试、专题研究、技术交流会等）：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目前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制订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该标准项目具备的条件（包括科研基础条件、最新研究成果、新技术开发应用情况、开展相关执法和监督管理工作的情况等，可同时提供证明项目具备条件的相关材料）：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经费预算及来源说明：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017" w:type="dxa"/>
            <w:gridSpan w:val="10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需要说明的其他问题：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017" w:type="dxa"/>
            <w:gridSpan w:val="1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标准承担单位意见：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公章）</w:t>
            </w:r>
          </w:p>
          <w:p>
            <w:pPr>
              <w:spacing w:line="360" w:lineRule="auto"/>
              <w:ind w:right="42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52F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2024-04-28T02:27:38Z</dcterms:created>
  <dc:creator>86151</dc:creator>
  <cp:lastModifiedBy>格人</cp:lastModifiedBy>
  <dcterms:modified xsi:type="dcterms:W3CDTF">2024-04-28T02:27:49Z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66F31D4047A14B0AB1FFFBD7D150CAEC_12</vt:lpwstr>
  </property>
</Properties>
</file>